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F40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ЧУТЕЕВСКОГО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  <w:r w:rsidR="00F40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Pr="006A3337" w:rsidRDefault="00F402D9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ЧУТИ</w:t>
            </w:r>
            <w:r w:rsidR="00C60907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98164C" w:rsidRPr="0098164C" w:rsidRDefault="0098164C" w:rsidP="00C6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>7 августа 2015г.</w:t>
      </w:r>
      <w:r w:rsidR="00F402D9"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с. </w:t>
      </w:r>
      <w:proofErr w:type="spellStart"/>
      <w:r w:rsidR="00F402D9"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Чутеево</w:t>
      </w:r>
      <w:proofErr w:type="spellEnd"/>
      <w:r w:rsidR="00F402D9"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C60907"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№  9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F402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F402D9">
        <w:rPr>
          <w:rFonts w:ascii="Times New Roman" w:hAnsi="Times New Roman" w:cs="Times New Roman"/>
          <w:b/>
          <w:sz w:val="28"/>
          <w:szCs w:val="28"/>
        </w:rPr>
        <w:t>ЧУТЕЕВСКОГО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</w:t>
      </w:r>
      <w:proofErr w:type="gramStart"/>
      <w:r w:rsidRPr="006A333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A3337">
        <w:rPr>
          <w:rFonts w:ascii="Times New Roman" w:hAnsi="Times New Roman" w:cs="Times New Roman"/>
          <w:sz w:val="28"/>
          <w:szCs w:val="28"/>
        </w:rPr>
        <w:t xml:space="preserve">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proofErr w:type="gramStart"/>
      <w:r w:rsidR="006A3337">
        <w:rPr>
          <w:rFonts w:ascii="Times New Roman" w:hAnsi="Times New Roman" w:cs="Times New Roman"/>
          <w:sz w:val="28"/>
          <w:szCs w:val="28"/>
        </w:rPr>
        <w:t>,</w:t>
      </w:r>
      <w:r w:rsidR="00C60907" w:rsidRPr="006A33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 w:rsidR="00F402D9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F402D9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6539A8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>2.</w:t>
      </w:r>
      <w:r w:rsidR="00C60907" w:rsidRPr="006A3337"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 w:rsidR="00F402D9">
        <w:rPr>
          <w:rStyle w:val="FontStyle12"/>
          <w:sz w:val="28"/>
          <w:szCs w:val="28"/>
        </w:rPr>
        <w:t>Чутеевского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</w:t>
      </w:r>
      <w:r w:rsidR="00C60907" w:rsidRPr="006A3337">
        <w:rPr>
          <w:rStyle w:val="FontStyle13"/>
          <w:sz w:val="28"/>
          <w:szCs w:val="28"/>
        </w:rPr>
        <w:t xml:space="preserve">, </w:t>
      </w:r>
      <w:r w:rsidR="00C60907"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F402D9">
        <w:rPr>
          <w:rStyle w:val="FontStyle12"/>
          <w:sz w:val="28"/>
          <w:szCs w:val="28"/>
        </w:rPr>
        <w:t>Чутеевского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Style w:val="FontStyle12"/>
          <w:sz w:val="28"/>
          <w:szCs w:val="28"/>
        </w:rPr>
        <w:t>Кайбицкого</w:t>
      </w:r>
      <w:proofErr w:type="spellEnd"/>
      <w:r w:rsidR="00C60907"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02D9" w:rsidRDefault="00F402D9" w:rsidP="00F40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F402D9" w:rsidRDefault="00F402D9" w:rsidP="00F40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C60907" w:rsidRPr="006A3337" w:rsidRDefault="00F402D9" w:rsidP="00F40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Чутеевского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СП:                                              А.Т.Козлов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bookmarkStart w:id="2" w:name="Par30"/>
      <w:bookmarkEnd w:id="2"/>
      <w:r w:rsidRPr="00B46598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к постановлению Исполнительного комитета</w:t>
      </w:r>
    </w:p>
    <w:p w:rsidR="00B46598" w:rsidRPr="00B46598" w:rsidRDefault="00F402D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Чутеевского</w:t>
      </w:r>
      <w:proofErr w:type="spellEnd"/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98164C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07.08.2015г.  №  9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402D9">
        <w:rPr>
          <w:rFonts w:ascii="Times New Roman" w:hAnsi="Times New Roman" w:cs="Times New Roman"/>
          <w:b/>
          <w:sz w:val="24"/>
          <w:szCs w:val="24"/>
        </w:rPr>
        <w:t>ЧУТЕЕВСКОГО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F402D9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F402D9">
        <w:rPr>
          <w:rFonts w:ascii="Times New Roman" w:hAnsi="Times New Roman" w:cs="Times New Roman"/>
          <w:sz w:val="24"/>
          <w:szCs w:val="24"/>
        </w:rPr>
        <w:t>Чутеевского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F402D9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proofErr w:type="spellStart"/>
      <w:r w:rsidR="00F402D9">
        <w:rPr>
          <w:rFonts w:ascii="Times New Roman" w:hAnsi="Times New Roman" w:cs="Times New Roman"/>
          <w:sz w:val="24"/>
          <w:szCs w:val="24"/>
        </w:rPr>
        <w:t>Чутеевского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 w:rsidR="00B46598" w:rsidRPr="006A333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 орган)</w:t>
      </w:r>
      <w:r w:rsidRPr="006A3337">
        <w:rPr>
          <w:rFonts w:ascii="Times New Roman" w:hAnsi="Times New Roman" w:cs="Times New Roman"/>
          <w:sz w:val="24"/>
          <w:szCs w:val="24"/>
        </w:rPr>
        <w:t>,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6A33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539A8"/>
    <w:rsid w:val="00135CC4"/>
    <w:rsid w:val="006539A8"/>
    <w:rsid w:val="006A3337"/>
    <w:rsid w:val="006D3E57"/>
    <w:rsid w:val="00735A08"/>
    <w:rsid w:val="008F104B"/>
    <w:rsid w:val="008F19D1"/>
    <w:rsid w:val="0098164C"/>
    <w:rsid w:val="00B46598"/>
    <w:rsid w:val="00C60907"/>
    <w:rsid w:val="00C729F9"/>
    <w:rsid w:val="00F4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5785</Words>
  <Characters>32981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I. Общие положения</vt:lpstr>
      <vt:lpstr>    II. Порядок присвоения объекту адресации адреса, изменения</vt:lpstr>
      <vt:lpstr>    III. Структура адреса</vt:lpstr>
      <vt:lpstr>    IV. Правила написания наименований и нумерации</vt:lpstr>
    </vt:vector>
  </TitlesOfParts>
  <Company/>
  <LinksUpToDate>false</LinksUpToDate>
  <CharactersWithSpaces>38689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7</cp:revision>
  <cp:lastPrinted>2015-08-06T11:54:00Z</cp:lastPrinted>
  <dcterms:created xsi:type="dcterms:W3CDTF">2015-08-06T05:12:00Z</dcterms:created>
  <dcterms:modified xsi:type="dcterms:W3CDTF">2015-08-06T11:57:00Z</dcterms:modified>
</cp:coreProperties>
</file>